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610FF5" w:rsidRDefault="00F6213F" w:rsidP="00F6213F">
      <w:pPr>
        <w:ind w:firstLine="709"/>
        <w:jc w:val="center"/>
        <w:rPr>
          <w:b/>
          <w:bCs/>
          <w:color w:val="auto"/>
        </w:rPr>
      </w:pPr>
      <w:r w:rsidRPr="00610FF5">
        <w:rPr>
          <w:b/>
          <w:bCs/>
          <w:color w:val="auto"/>
        </w:rPr>
        <w:t>Подпрограмма 1</w:t>
      </w:r>
      <w:r w:rsidR="003A751B" w:rsidRPr="00610FF5">
        <w:rPr>
          <w:b/>
          <w:bCs/>
          <w:color w:val="auto"/>
        </w:rPr>
        <w:t>1</w:t>
      </w:r>
      <w:r w:rsidRPr="00610FF5">
        <w:rPr>
          <w:b/>
          <w:bCs/>
          <w:color w:val="auto"/>
        </w:rPr>
        <w:t>. «</w:t>
      </w:r>
      <w:r w:rsidR="003A751B" w:rsidRPr="00610FF5">
        <w:rPr>
          <w:b/>
          <w:bCs/>
          <w:color w:val="auto"/>
        </w:rPr>
        <w:t>Энергосбережение и повышение энергетической эффективности государственными образовательными организациями Нижегородской области</w:t>
      </w:r>
      <w:r w:rsidRPr="00610FF5">
        <w:rPr>
          <w:b/>
          <w:bCs/>
          <w:color w:val="auto"/>
        </w:rPr>
        <w:t>»</w:t>
      </w:r>
    </w:p>
    <w:p w:rsidR="00F6213F" w:rsidRPr="00610FF5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610FF5" w:rsidRDefault="00F6213F" w:rsidP="00F6213F">
      <w:pPr>
        <w:spacing w:line="252" w:lineRule="exact"/>
        <w:jc w:val="center"/>
        <w:rPr>
          <w:color w:val="auto"/>
        </w:rPr>
      </w:pPr>
      <w:r w:rsidRPr="00610FF5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610FF5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610FF5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610FF5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610FF5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10FF5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610FF5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10FF5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A751B" w:rsidRPr="00610FF5" w:rsidTr="007D1E9D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Подпрограмма 11 "Энергосбережение и повышение энергетической эффективности государственными образовательными организациями Нижегородской области"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1.1. Замена источников света на светодиодные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1.1.1. Замена источников света на энергоэффективные светодиодные лампы, штуки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25885,00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25885,00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1.2. Мониторинг по реализации мероприятия в рамках отчетного финансового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1.2.1. Проведение мониторинга по реализации мероприятия по переходу на энергоэффективные светодиодные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2.1. Установка доводчиков на двери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2.1.1. Количество образовательных организаций, в которых произведена установка доводчиков на дверные проемы,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2.2. Герметизация оконных блоков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 xml:space="preserve">МОНО, ОО, </w:t>
            </w: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2.2.1. Количество образовательных организаций, в которых произведены уплотнение и герметизация оконных проемов,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3.1. Установка оборудования по автоматическому регулированию в зависимости от погодных условий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3.1.1. Количество образовательных организаций, в которых произведена установка индивидуальных тепловых пунктов с автоматическим погодным регулированием,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3.2. Установка термостатических клапанов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3.2.1. Количество образовательных организаций, в которых произведена установка термостатических клапанов регулирования температуры воздуха на внутренней системе теплоснабжения во внутренних помещениях ГОУ,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4.1. Установка водосберегающей арматуры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4.1.1. Количество образовательных организаций, в которых произведена установка регуляторов расхода воды в системе водоснабжения,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4.2. Устранение утечек в водопроводах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4.2.1. Количество образовательных организаций, в которых произведено устранение утечек воды в системе водоснабжения,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5.1. Представление энергетической декларации в ГИС "Энергоэффективность"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5.1.1. Количество образовательных организаций, представивших энергетическую декларацию в ГИС "Энергоэффективность", от общего количества образовательных организаций,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5.2. Мониторинг реализации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МОНО, ОО, подведомственные МОНО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3A751B" w:rsidRPr="00610FF5" w:rsidTr="003A751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5.2.1. Проведение мониторинга реализации Подпрограммы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Pr="00610FF5" w:rsidRDefault="0070174E"/>
    <w:p w:rsidR="008101CB" w:rsidRPr="00610FF5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610FF5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610FF5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610FF5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610FF5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E55814" w:rsidRPr="00610FF5" w:rsidRDefault="00E55814" w:rsidP="00E55814">
      <w:pPr>
        <w:jc w:val="both"/>
        <w:rPr>
          <w:color w:val="auto"/>
        </w:rPr>
      </w:pPr>
      <w:r w:rsidRPr="00610FF5">
        <w:rPr>
          <w:color w:val="auto"/>
        </w:rPr>
        <w:t>Все запланированные мероприятия выполнены. Установленные индикаторы и непосредственные результаты достигнуты.</w:t>
      </w:r>
    </w:p>
    <w:p w:rsidR="00E55814" w:rsidRPr="00610FF5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610FF5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610FF5" w:rsidRDefault="00E55814" w:rsidP="00E55814">
      <w:pPr>
        <w:spacing w:line="252" w:lineRule="exact"/>
        <w:jc w:val="center"/>
        <w:rPr>
          <w:color w:val="auto"/>
        </w:rPr>
      </w:pPr>
      <w:r w:rsidRPr="00610FF5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610FF5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610FF5" w:rsidTr="003A751B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070B90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2019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070B90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201</w:t>
            </w:r>
            <w:r w:rsidRPr="00610FF5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>8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070B90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2019</w:t>
            </w:r>
            <w:r w:rsidR="008101CB" w:rsidRPr="00610FF5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10FF5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610FF5" w:rsidTr="003A751B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10FF5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3A751B" w:rsidRPr="00610FF5" w:rsidTr="003A751B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Подпрограмма 11 "Энергосбережение и повышение энергетической эффективности государственными образовательными учреждениями Нижегородской области"</w:t>
            </w:r>
          </w:p>
        </w:tc>
      </w:tr>
      <w:tr w:rsidR="003A751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51B" w:rsidRPr="00610FF5" w:rsidRDefault="003A751B" w:rsidP="003A751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6931AB" w:rsidRPr="00610FF5" w:rsidTr="00F24C0F">
        <w:trPr>
          <w:trHeight w:val="95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кВт.ч/кв.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19,37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  <w:lang w:val="en-US"/>
              </w:rPr>
            </w:pPr>
            <w:r w:rsidRPr="00610FF5">
              <w:rPr>
                <w:sz w:val="20"/>
                <w:szCs w:val="20"/>
                <w:lang w:val="en-US"/>
              </w:rPr>
              <w:t>19</w:t>
            </w:r>
            <w:r w:rsidRPr="00610FF5">
              <w:rPr>
                <w:sz w:val="20"/>
                <w:szCs w:val="20"/>
              </w:rPr>
              <w:t>,</w:t>
            </w:r>
            <w:r w:rsidRPr="00610FF5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  <w:lang w:val="en-US"/>
              </w:rPr>
            </w:pPr>
            <w:r w:rsidRPr="00610FF5">
              <w:rPr>
                <w:sz w:val="20"/>
                <w:szCs w:val="20"/>
                <w:lang w:val="en-US"/>
              </w:rPr>
              <w:t>19</w:t>
            </w:r>
            <w:r w:rsidRPr="00610FF5">
              <w:rPr>
                <w:sz w:val="20"/>
                <w:szCs w:val="20"/>
              </w:rPr>
              <w:t>,</w:t>
            </w:r>
            <w:r w:rsidRPr="00610FF5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тепловой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Гкал/кв. м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0,1534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0,1533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0,1533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холодной воды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куб. м/чел.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48,17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48,16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48,16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Удельный расход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куб. м/чел.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1812,10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1812,0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1812,0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F24C0F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Доля государственных образовательных организаций, представивших энергетическую декларацию в ГИС "Энергоэффективность", за отчетный год от общего количества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jc w:val="center"/>
              <w:rPr>
                <w:sz w:val="20"/>
                <w:szCs w:val="20"/>
              </w:rPr>
            </w:pPr>
            <w:r w:rsidRPr="00610FF5">
              <w:rPr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6931A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6931AB" w:rsidRPr="00610FF5" w:rsidTr="003A751B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610FF5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6931AB" w:rsidRPr="00610FF5" w:rsidTr="003A751B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AB" w:rsidRPr="00610FF5" w:rsidRDefault="006931AB" w:rsidP="006931AB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Количество государственных образовательных организаций, представивших энергетическую декларацию в ГИС "Энергоэффективность", за отчетный год от общего количества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1AB" w:rsidRPr="00610FF5" w:rsidRDefault="006931AB" w:rsidP="006931AB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2.1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кВт.ч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13825,00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13800,0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13800,0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2.2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электрической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82,70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тепловой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Гкал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72,00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тепловой энергии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96,48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4.1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холодной воды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куб. 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4.2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холодной воды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610FF5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5.1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 xml:space="preserve">куб. м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223,00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313,00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313,00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2856EC" w:rsidRPr="003A751B" w:rsidTr="004754B8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5.2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56EC" w:rsidRPr="00610FF5" w:rsidRDefault="002856EC" w:rsidP="002856EC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Сокращение потребления природного газа на снабжение министерства образования, науки и молодежной политики Нижегородской области и подведомственных государственных образовательных организаций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610FF5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6EC" w:rsidRPr="003A751B" w:rsidRDefault="002856EC" w:rsidP="002856EC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610FF5">
              <w:rPr>
                <w:rFonts w:eastAsia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856EC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10F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450D1"/>
    <w:rsid w:val="00070B90"/>
    <w:rsid w:val="000711FD"/>
    <w:rsid w:val="000A7ECA"/>
    <w:rsid w:val="00102A0F"/>
    <w:rsid w:val="001265F4"/>
    <w:rsid w:val="00131D82"/>
    <w:rsid w:val="00135A4A"/>
    <w:rsid w:val="00153BA8"/>
    <w:rsid w:val="001A45A5"/>
    <w:rsid w:val="002856EC"/>
    <w:rsid w:val="002921A8"/>
    <w:rsid w:val="00310099"/>
    <w:rsid w:val="003424C1"/>
    <w:rsid w:val="003453FF"/>
    <w:rsid w:val="00361AB1"/>
    <w:rsid w:val="003A751B"/>
    <w:rsid w:val="003A778A"/>
    <w:rsid w:val="003E7447"/>
    <w:rsid w:val="0040575D"/>
    <w:rsid w:val="00423EE1"/>
    <w:rsid w:val="0044422F"/>
    <w:rsid w:val="0045513F"/>
    <w:rsid w:val="004754B8"/>
    <w:rsid w:val="004A7A65"/>
    <w:rsid w:val="004D2696"/>
    <w:rsid w:val="005045B5"/>
    <w:rsid w:val="005840A8"/>
    <w:rsid w:val="005952DC"/>
    <w:rsid w:val="005B1DD3"/>
    <w:rsid w:val="005B57C7"/>
    <w:rsid w:val="005E3733"/>
    <w:rsid w:val="00610FF5"/>
    <w:rsid w:val="00613B20"/>
    <w:rsid w:val="006931AB"/>
    <w:rsid w:val="006A743F"/>
    <w:rsid w:val="0070174E"/>
    <w:rsid w:val="00706FAB"/>
    <w:rsid w:val="00707550"/>
    <w:rsid w:val="00754811"/>
    <w:rsid w:val="008101CB"/>
    <w:rsid w:val="008327EC"/>
    <w:rsid w:val="008A0A46"/>
    <w:rsid w:val="008F39C3"/>
    <w:rsid w:val="00947CCF"/>
    <w:rsid w:val="00984880"/>
    <w:rsid w:val="009C15E4"/>
    <w:rsid w:val="009D2EAB"/>
    <w:rsid w:val="009E4CB3"/>
    <w:rsid w:val="009E4E7A"/>
    <w:rsid w:val="00A72C6A"/>
    <w:rsid w:val="00AA17EB"/>
    <w:rsid w:val="00AE35C7"/>
    <w:rsid w:val="00B073CC"/>
    <w:rsid w:val="00B3680F"/>
    <w:rsid w:val="00C74E7D"/>
    <w:rsid w:val="00D05224"/>
    <w:rsid w:val="00DA77D3"/>
    <w:rsid w:val="00DE04DB"/>
    <w:rsid w:val="00E16F65"/>
    <w:rsid w:val="00E55814"/>
    <w:rsid w:val="00E7545C"/>
    <w:rsid w:val="00EE519E"/>
    <w:rsid w:val="00F50DC5"/>
    <w:rsid w:val="00F60E74"/>
    <w:rsid w:val="00F6213F"/>
    <w:rsid w:val="00F7089A"/>
    <w:rsid w:val="00FB2B4F"/>
    <w:rsid w:val="00FF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427C1E-08D7-44FA-9181-8DBEB24F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26</cp:revision>
  <dcterms:created xsi:type="dcterms:W3CDTF">2019-04-03T13:26:00Z</dcterms:created>
  <dcterms:modified xsi:type="dcterms:W3CDTF">2020-03-23T14:41:00Z</dcterms:modified>
</cp:coreProperties>
</file>